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Merriweather" w:cs="Merriweather" w:eastAsia="Merriweather" w:hAnsi="Merriweather"/>
          <w:b w:val="1"/>
          <w:color w:val="000000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8"/>
          <w:szCs w:val="28"/>
          <w:rtl w:val="0"/>
        </w:rPr>
        <w:t xml:space="preserve">DECLARAÇÃO DE ACÚMULOS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rriweather Light" w:cs="Merriweather Light" w:eastAsia="Merriweather Light" w:hAnsi="Merriweather Ligh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rriweather Light" w:cs="Merriweather Light" w:eastAsia="Merriweather Light" w:hAnsi="Merriweather Light"/>
          <w:color w:val="000000"/>
          <w:sz w:val="22"/>
          <w:szCs w:val="22"/>
        </w:rPr>
      </w:pP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Declaro, para os devidos fins, que eu, </w:t>
      </w: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2"/>
          <w:szCs w:val="22"/>
          <w:rtl w:val="0"/>
        </w:rPr>
        <w:t xml:space="preserve">&lt;</w:t>
      </w:r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Nome do aluno&gt;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, CPF </w:t>
      </w:r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&lt;número do CPF&gt;,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 aluno (a) devidamente matriculado (a) da</w:t>
      </w:r>
      <w:r w:rsidDel="00000000" w:rsidR="00000000" w:rsidRPr="00000000">
        <w:rPr>
          <w:rFonts w:ascii="Merriweather Light" w:cs="Merriweather Light" w:eastAsia="Merriweather Light" w:hAnsi="Merriweather Light"/>
          <w:sz w:val="22"/>
          <w:szCs w:val="22"/>
          <w:rtl w:val="0"/>
        </w:rPr>
        <w:t xml:space="preserve"> Universidade Estadual de Campinas - Faculdade de Engenharia Elétrica e de Computação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 no Programa de Pós-Graduação </w:t>
      </w:r>
      <w:r w:rsidDel="00000000" w:rsidR="00000000" w:rsidRPr="00000000">
        <w:rPr>
          <w:rFonts w:ascii="Merriweather Light" w:cs="Merriweather Light" w:eastAsia="Merriweather Light" w:hAnsi="Merriweather Light"/>
          <w:sz w:val="22"/>
          <w:szCs w:val="22"/>
          <w:rtl w:val="0"/>
        </w:rPr>
        <w:t xml:space="preserve">em Engenharia Elétrica 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sob o número de matrícula </w:t>
      </w:r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&lt;número do RA&gt;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, em nível de</w:t>
      </w:r>
      <w:r w:rsidDel="00000000" w:rsidR="00000000" w:rsidRPr="00000000">
        <w:rPr>
          <w:rFonts w:ascii="Merriweather Light" w:cs="Merriweather Light" w:eastAsia="Merriweather Light" w:hAnsi="Merriweather Ligh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b w:val="1"/>
          <w:sz w:val="22"/>
          <w:szCs w:val="22"/>
          <w:rtl w:val="0"/>
        </w:rPr>
        <w:t xml:space="preserve">&lt;Mestrado ou Doutorado&gt;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, em atenção à Portaria nº 133, de 10 de julho de 2023, informo que possuo vínculo empregatício ou outros rendimentos, conforme declarado abaixo: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rriweather Light" w:cs="Merriweather Light" w:eastAsia="Merriweather Light" w:hAnsi="Merriweather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firstLine="0"/>
        <w:rPr>
          <w:rFonts w:ascii="Merriweather Light" w:cs="Merriweather Light" w:eastAsia="Merriweather Light" w:hAnsi="Merriweather Light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 )   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Cadastramento de bolsa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( )  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2"/>
          <w:szCs w:val="22"/>
          <w:rtl w:val="0"/>
        </w:rPr>
        <w:t xml:space="preserve">Atualização de bolsa Processo SCBA nº_______________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rriweather Light" w:cs="Merriweather Light" w:eastAsia="Merriweather Light" w:hAnsi="Merriweather Light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" w:cs="Merriweather" w:eastAsia="Merriweather" w:hAnsi="Merriweather"/>
          <w:b w:val="1"/>
          <w:color w:val="000000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rtl w:val="0"/>
        </w:rPr>
        <w:t xml:space="preserve">Atividades Remuneradas: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Merriweather" w:cs="Merriweather" w:eastAsia="Merriweather" w:hAnsi="Merriweath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  <w:tblGridChange w:id="0">
          <w:tblGrid>
            <w:gridCol w:w="1096"/>
            <w:gridCol w:w="1555"/>
            <w:gridCol w:w="429"/>
            <w:gridCol w:w="2223"/>
            <w:gridCol w:w="2313"/>
            <w:gridCol w:w="2991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  <w:rtl w:val="0"/>
              </w:rPr>
              <w:t xml:space="preserve">Tipo de Vínculo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CLT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sz w:val="20"/>
                <w:szCs w:val="20"/>
                <w:rtl w:val="0"/>
              </w:rPr>
              <w:t xml:space="preserve">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Regime Jurídico Único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Temporário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Lei 6.019/74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Contrato por prazo determinado Lei 9.601/98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Início da Atividade: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Fim da Atividade: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Seção CNAE*: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Divisão CNAE*: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rriweather Light" w:cs="Merriweather Light" w:eastAsia="Merriweather Light" w:hAnsi="Merriweather Ligh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  <w:tblGridChange w:id="0">
          <w:tblGrid>
            <w:gridCol w:w="1096"/>
            <w:gridCol w:w="1555"/>
            <w:gridCol w:w="429"/>
            <w:gridCol w:w="2223"/>
            <w:gridCol w:w="2313"/>
            <w:gridCol w:w="2991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  <w:rtl w:val="0"/>
              </w:rPr>
              <w:t xml:space="preserve">Tipo de Vínculo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CLT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sz w:val="20"/>
                <w:szCs w:val="20"/>
                <w:rtl w:val="0"/>
              </w:rPr>
              <w:t xml:space="preserve">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Regime Jurídico Único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Temporário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Lei 6.019/74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Contrato por prazo determinado Lei 9.601/98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Início da Atividade: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Fim da Atividade: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Seção CNAE*: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Divisão CNAE*: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rriweather Light" w:cs="Merriweather Light" w:eastAsia="Merriweather Light" w:hAnsi="Merriweather Ligh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  <w:tblGridChange w:id="0">
          <w:tblGrid>
            <w:gridCol w:w="1096"/>
            <w:gridCol w:w="1555"/>
            <w:gridCol w:w="429"/>
            <w:gridCol w:w="2223"/>
            <w:gridCol w:w="2313"/>
            <w:gridCol w:w="2991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  <w:rtl w:val="0"/>
              </w:rPr>
              <w:t xml:space="preserve">Tipo de Vínculo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CLT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sz w:val="20"/>
                <w:szCs w:val="20"/>
                <w:rtl w:val="0"/>
              </w:rPr>
              <w:t xml:space="preserve">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Regime Jurídico Único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Temporário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Lei 6.019/74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  <w:rtl w:val="0"/>
              </w:rPr>
              <w:t xml:space="preserve">Contrato por prazo determinado Lei 9.601/98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Início da Atividade: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Fim da Atividade: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Seção CNAE*: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Divisão CNAE*: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rriweather Light" w:cs="Merriweather Light" w:eastAsia="Merriweather Light" w:hAnsi="Merriweather Light"/>
          <w:sz w:val="20"/>
          <w:szCs w:val="20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20"/>
          <w:szCs w:val="20"/>
          <w:rtl w:val="0"/>
        </w:rPr>
        <w:t xml:space="preserve">* Utilizar nº CNAE anexo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" w:cs="Merriweather" w:eastAsia="Merriweather" w:hAnsi="Merriweather"/>
          <w:b w:val="1"/>
          <w:color w:val="000000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rtl w:val="0"/>
        </w:rPr>
        <w:t xml:space="preserve">Outros Rendimentos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Merriweather" w:cs="Merriweather" w:eastAsia="Merriweather" w:hAnsi="Merriweath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0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1"/>
        <w:gridCol w:w="2652"/>
        <w:gridCol w:w="2652"/>
        <w:gridCol w:w="2652"/>
        <w:tblGridChange w:id="0">
          <w:tblGrid>
            <w:gridCol w:w="2651"/>
            <w:gridCol w:w="2652"/>
            <w:gridCol w:w="2652"/>
            <w:gridCol w:w="265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b w:val="1"/>
                <w:color w:val="000000"/>
                <w:sz w:val="22"/>
                <w:szCs w:val="22"/>
                <w:rtl w:val="0"/>
              </w:rPr>
              <w:t xml:space="preserve">Informar os outros rendimentos que possui: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1-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Início da Atividade: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Fim da Atividade: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2-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Início da Atividade: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Fim da Atividade: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3-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Início da Atividade: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  <w:rtl w:val="0"/>
              </w:rPr>
              <w:t xml:space="preserve">Fim da Atividade: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" w:cs="Merriweather" w:eastAsia="Merriweather" w:hAnsi="Merriweather"/>
          <w:b w:val="1"/>
          <w:color w:val="000000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rtl w:val="0"/>
        </w:rPr>
        <w:t xml:space="preserve">Bolsas Declaratórias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Merriweather Light" w:cs="Merriweather Light" w:eastAsia="Merriweather Light" w:hAnsi="Merriweather Ligh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4"/>
          <w:szCs w:val="24"/>
          <w:rtl w:val="0"/>
        </w:rPr>
        <w:t xml:space="preserve">Acumulará essa bolsa Capes com outra bolsa, nacional ou internacional, de mesmo nível, financiada com </w:t>
      </w: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4"/>
          <w:szCs w:val="24"/>
          <w:highlight w:val="white"/>
          <w:rtl w:val="0"/>
        </w:rPr>
        <w:t xml:space="preserve">recursos públicos federais?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Merriweather" w:cs="Merriweather" w:eastAsia="Merriweather" w:hAnsi="Merriweat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highlight w:val="white"/>
          <w:rtl w:val="0"/>
        </w:rPr>
        <w:t xml:space="preserve">im </w:t>
      </w: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highlight w:val="whit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Não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 Light" w:cs="Merriweather Light" w:eastAsia="Merriweather Light" w:hAnsi="Merriweather Light"/>
          <w:sz w:val="24"/>
          <w:szCs w:val="24"/>
          <w:highlight w:val="white"/>
        </w:rPr>
      </w:pP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4"/>
          <w:szCs w:val="24"/>
          <w:highlight w:val="white"/>
          <w:rtl w:val="0"/>
        </w:rPr>
        <w:t xml:space="preserve"> Acumulará essa bolsa Capes com outra bolsa, nacional ou internacional, cuja legislação vigente vede expressamente o acúmulo?</w:t>
      </w: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erriweather Light" w:cs="Merriweather Light" w:eastAsia="Merriweather Light" w:hAnsi="Merriweather Ligh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left="720" w:firstLine="0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   Sim </w:t>
      </w:r>
      <w:r w:rsidDel="00000000" w:rsidR="00000000" w:rsidRPr="00000000">
        <w:rPr>
          <w:rFonts w:ascii="Merriweather" w:cs="Merriweather" w:eastAsia="Merriweather" w:hAnsi="Merriweather"/>
          <w:b w:val="1"/>
          <w:highlight w:val="whit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 Light" w:cs="Merriweather Light" w:eastAsia="Merriweather Light" w:hAnsi="Merriweather Light"/>
          <w:sz w:val="24"/>
          <w:szCs w:val="24"/>
          <w:highlight w:val="white"/>
        </w:rPr>
      </w:pP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4"/>
          <w:szCs w:val="24"/>
          <w:highlight w:val="white"/>
          <w:rtl w:val="0"/>
        </w:rPr>
        <w:t xml:space="preserve">Acumulará essa bolsa Capes com outra bolsa, nacional ou internacional, de mesmo nível, financiada com recursos não federais? </w:t>
      </w:r>
      <w:r w:rsidDel="00000000" w:rsidR="00000000" w:rsidRPr="00000000">
        <w:rPr>
          <w:rFonts w:ascii="Merriweather Light" w:cs="Merriweather Light" w:eastAsia="Merriweather Light" w:hAnsi="Merriweather Light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ind w:left="720" w:firstLine="0"/>
        <w:jc w:val="left"/>
        <w:rPr>
          <w:rFonts w:ascii="Merriweather" w:cs="Merriweather" w:eastAsia="Merriweather" w:hAnsi="Merriweat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   Sim </w:t>
      </w:r>
      <w:r w:rsidDel="00000000" w:rsidR="00000000" w:rsidRPr="00000000">
        <w:rPr>
          <w:rFonts w:ascii="Merriweather" w:cs="Merriweather" w:eastAsia="Merriweather" w:hAnsi="Merriweather"/>
          <w:b w:val="1"/>
          <w:highlight w:val="whit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Não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4"/>
          <w:szCs w:val="24"/>
          <w:highlight w:val="white"/>
          <w:rtl w:val="0"/>
        </w:rPr>
        <w:t xml:space="preserve">Acumulará essa bolsa Capes com outra bolsa, nacional ou internacional, que não seja de mesmo nível?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erriweather Light" w:cs="Merriweather Light" w:eastAsia="Merriweather Light" w:hAnsi="Merriweather Light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   Sim </w:t>
      </w:r>
      <w:r w:rsidDel="00000000" w:rsidR="00000000" w:rsidRPr="00000000">
        <w:rPr>
          <w:rFonts w:ascii="Merriweather" w:cs="Merriweather" w:eastAsia="Merriweather" w:hAnsi="Merriweather"/>
          <w:b w:val="1"/>
          <w:highlight w:val="whit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left"/>
        <w:rPr>
          <w:rFonts w:ascii="Merriweather Light" w:cs="Merriweather Light" w:eastAsia="Merriweather Light" w:hAnsi="Merriweather Light"/>
          <w:color w:val="000000"/>
          <w:sz w:val="24"/>
          <w:szCs w:val="24"/>
        </w:rPr>
      </w:pPr>
      <w:r w:rsidDel="00000000" w:rsidR="00000000" w:rsidRPr="00000000">
        <w:rPr>
          <w:rFonts w:ascii="Merriweather Light" w:cs="Merriweather Light" w:eastAsia="Merriweather Light" w:hAnsi="Merriweather Light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i w:val="1"/>
          <w:color w:val="000000"/>
          <w:sz w:val="20"/>
          <w:szCs w:val="20"/>
        </w:rPr>
      </w:pPr>
      <w:r w:rsidDel="00000000" w:rsidR="00000000" w:rsidRPr="00000000">
        <w:rPr>
          <w:rFonts w:ascii="Merriweather Light" w:cs="Merriweather Light" w:eastAsia="Merriweather Light" w:hAnsi="Merriweather Light"/>
          <w:i w:val="1"/>
          <w:color w:val="000000"/>
          <w:sz w:val="20"/>
          <w:szCs w:val="20"/>
          <w:rtl w:val="0"/>
        </w:rPr>
        <w:t xml:space="preserve">Local e data:</w:t>
      </w:r>
      <w:r w:rsidDel="00000000" w:rsidR="00000000" w:rsidRPr="00000000">
        <w:rPr>
          <w:rFonts w:ascii="Merriweather Light" w:cs="Merriweather Light" w:eastAsia="Merriweather Light" w:hAnsi="Merriweather Light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erriweather Light" w:cs="Merriweather Light" w:eastAsia="Merriweather Light" w:hAnsi="Merriweather Light"/>
          <w:i w:val="1"/>
          <w:color w:val="000000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Merriweather Light" w:cs="Merriweather Light" w:eastAsia="Merriweather Light" w:hAnsi="Merriweather Light"/>
          <w:i w:val="1"/>
          <w:color w:val="000000"/>
          <w:sz w:val="20"/>
          <w:szCs w:val="20"/>
        </w:rPr>
      </w:pPr>
      <w:r w:rsidDel="00000000" w:rsidR="00000000" w:rsidRPr="00000000">
        <w:rPr>
          <w:rFonts w:ascii="Merriweather Light" w:cs="Merriweather Light" w:eastAsia="Merriweather Light" w:hAnsi="Merriweather Light"/>
          <w:i w:val="1"/>
          <w:color w:val="000000"/>
          <w:sz w:val="20"/>
          <w:szCs w:val="20"/>
          <w:rtl w:val="0"/>
        </w:rPr>
        <w:t xml:space="preserve">Assinatura do(a) beneficiário(a):</w:t>
      </w:r>
      <w:r w:rsidDel="00000000" w:rsidR="00000000" w:rsidRPr="00000000">
        <w:rPr>
          <w:rFonts w:ascii="Merriweather Light" w:cs="Merriweather Light" w:eastAsia="Merriweather Light" w:hAnsi="Merriweather Ligh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Assinatura Digital - Via SIGAD/UNICAMP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Merriweather Light" w:cs="Merriweather Light" w:eastAsia="Merriweather Light" w:hAnsi="Merriweather Light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erriweather" w:cs="Merriweather" w:eastAsia="Merriweather" w:hAnsi="Merriweather"/>
          <w:b w:val="1"/>
          <w:color w:val="000000"/>
          <w:sz w:val="24"/>
          <w:szCs w:val="24"/>
          <w:rtl w:val="0"/>
        </w:rPr>
        <w:t xml:space="preserve">Os acúmulos registrados acima estão de acordo com os critérios de acúmulo previstos no regulamento da Instituição de ensino e pesquisa ou PP</w:t>
      </w:r>
      <w:r w:rsidDel="00000000" w:rsidR="00000000" w:rsidRPr="00000000">
        <w:rPr>
          <w:rFonts w:ascii="Merriweather" w:cs="Merriweather" w:eastAsia="Merriweather" w:hAnsi="Merriweather"/>
          <w:b w:val="1"/>
          <w:i w:val="1"/>
          <w:color w:val="00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Merriweather Light" w:cs="Merriweather Light" w:eastAsia="Merriweather Light" w:hAnsi="Merriweather Light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rPr>
          <w:rFonts w:ascii="Merriweather Light" w:cs="Merriweather Light" w:eastAsia="Merriweather Light" w:hAnsi="Merriweather Ligh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6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16"/>
        <w:tblGridChange w:id="0">
          <w:tblGrid>
            <w:gridCol w:w="7616"/>
          </w:tblGrid>
        </w:tblGridChange>
      </w:tblGrid>
      <w:tr>
        <w:trPr>
          <w:cantSplit w:val="0"/>
          <w:trHeight w:val="1204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i w:val="1"/>
                <w:color w:val="000000"/>
                <w:sz w:val="22"/>
                <w:szCs w:val="22"/>
                <w:rtl w:val="0"/>
              </w:rPr>
              <w:t xml:space="preserve">Coordenador(a) do Programa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Assinatura Digital - Via SIGAD/UNICAMP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erriweather Light" w:cs="Merriweather Light" w:eastAsia="Merriweather Light" w:hAnsi="Merriweather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i w:val="1"/>
                <w:color w:val="000000"/>
                <w:sz w:val="20"/>
                <w:szCs w:val="20"/>
                <w:rtl w:val="0"/>
              </w:rPr>
              <w:t xml:space="preserve">Carimbo e assinatura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left"/>
        <w:rPr>
          <w:rFonts w:ascii="Merriweather Light" w:cs="Merriweather Light" w:eastAsia="Merriweather Light" w:hAnsi="Merriweather Light"/>
          <w:sz w:val="24"/>
          <w:szCs w:val="24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24"/>
          <w:szCs w:val="24"/>
        </w:rPr>
        <w:drawing>
          <wp:inline distB="114300" distT="114300" distL="114300" distR="114300">
            <wp:extent cx="6645600" cy="9410700"/>
            <wp:effectExtent b="0" l="0" r="0" t="0"/>
            <wp:docPr id="116146892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footerReference r:id="rId11" w:type="even"/>
      <w:pgSz w:h="16840" w:w="11907" w:orient="portrait"/>
      <w:pgMar w:bottom="567" w:top="720" w:left="720" w:right="720" w:header="720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Merriweather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erriweather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1/2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/2</w:t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-285749</wp:posOffset>
          </wp:positionV>
          <wp:extent cx="1047750" cy="1045247"/>
          <wp:effectExtent b="0" l="0" r="0" t="0"/>
          <wp:wrapNone/>
          <wp:docPr id="11614689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CD2C3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710A2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 w:val="1"/>
    <w:rsid w:val="00710A2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10A2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Light-regular.ttf"/><Relationship Id="rId2" Type="http://schemas.openxmlformats.org/officeDocument/2006/relationships/font" Target="fonts/MerriweatherLight-bold.ttf"/><Relationship Id="rId3" Type="http://schemas.openxmlformats.org/officeDocument/2006/relationships/font" Target="fonts/MerriweatherLight-italic.ttf"/><Relationship Id="rId4" Type="http://schemas.openxmlformats.org/officeDocument/2006/relationships/font" Target="fonts/MerriweatherLight-boldItalic.ttf"/><Relationship Id="rId11" Type="http://schemas.openxmlformats.org/officeDocument/2006/relationships/font" Target="fonts/Merriweather-italic.ttf"/><Relationship Id="rId10" Type="http://schemas.openxmlformats.org/officeDocument/2006/relationships/font" Target="fonts/Merriweather-bold.ttf"/><Relationship Id="rId12" Type="http://schemas.openxmlformats.org/officeDocument/2006/relationships/font" Target="fonts/Merriweather-boldItalic.ttf"/><Relationship Id="rId9" Type="http://schemas.openxmlformats.org/officeDocument/2006/relationships/font" Target="fonts/Merriweather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1dkTx68HXL+M6u4pXNrid67nQ==">CgMxLjA4AHIhMVludVFPVFpQZHA1NkJSU0FQcXhrbTdMeUI3VkVwYjkw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2023-09-29T16:58:00Z</dcterms:created>
  <dc:creator>Lara Oliveira Sousa</dc:creator>
</cp:coreProperties>
</file>